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C5" w:rsidRPr="001974FC" w:rsidRDefault="001974FC" w:rsidP="00EB05C5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</w:rPr>
      </w:pPr>
      <w:bookmarkStart w:id="0" w:name="_GoBack"/>
      <w:r w:rsidRPr="001974FC">
        <w:rPr>
          <w:rFonts w:ascii="Arial" w:hAnsi="Arial" w:cs="Arial"/>
          <w:b/>
        </w:rPr>
        <w:t>DESJUDICIALIZAÇÃO: DUAS DÉCADAS DE PROGRESSO</w:t>
      </w:r>
      <w:bookmarkEnd w:id="0"/>
    </w:p>
    <w:p w:rsidR="006A5D8B" w:rsidRDefault="006A5D8B" w:rsidP="006A5D8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8739C" w:rsidRDefault="0028739C" w:rsidP="006A5D8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5D8B" w:rsidRPr="006A5D8B" w:rsidRDefault="006A5D8B" w:rsidP="006A5D8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A5D8B">
        <w:rPr>
          <w:rFonts w:ascii="Arial" w:hAnsi="Arial" w:cs="Arial"/>
          <w:sz w:val="24"/>
          <w:szCs w:val="24"/>
        </w:rPr>
        <w:t xml:space="preserve">João Pedro Lamana Paiva </w:t>
      </w:r>
      <w:r w:rsidRPr="006A5D8B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6A5D8B" w:rsidRDefault="006A5D8B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</w:p>
    <w:p w:rsidR="00EC45D5" w:rsidRDefault="00EC45D5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 w:rsidRPr="00EB05C5">
        <w:rPr>
          <w:rFonts w:ascii="Arial" w:hAnsi="Arial" w:cs="Arial"/>
        </w:rPr>
        <w:t xml:space="preserve">O Direito evolui conforme as demandas </w:t>
      </w:r>
      <w:r w:rsidR="001C0FF5">
        <w:rPr>
          <w:rFonts w:ascii="Arial" w:hAnsi="Arial" w:cs="Arial"/>
        </w:rPr>
        <w:t>que a</w:t>
      </w:r>
      <w:r w:rsidRPr="00EB05C5">
        <w:rPr>
          <w:rFonts w:ascii="Arial" w:hAnsi="Arial" w:cs="Arial"/>
        </w:rPr>
        <w:t xml:space="preserve"> </w:t>
      </w:r>
      <w:r w:rsidR="001C0FF5">
        <w:rPr>
          <w:rFonts w:ascii="Arial" w:hAnsi="Arial" w:cs="Arial"/>
        </w:rPr>
        <w:t>sociedade exige</w:t>
      </w:r>
      <w:r w:rsidRPr="00EB05C5">
        <w:rPr>
          <w:rFonts w:ascii="Arial" w:hAnsi="Arial" w:cs="Arial"/>
        </w:rPr>
        <w:t>.</w:t>
      </w:r>
      <w:r w:rsidR="00EB05C5">
        <w:rPr>
          <w:rFonts w:ascii="Arial" w:hAnsi="Arial" w:cs="Arial"/>
        </w:rPr>
        <w:t xml:space="preserve"> </w:t>
      </w:r>
      <w:r w:rsidRPr="00EB05C5">
        <w:rPr>
          <w:rFonts w:ascii="Arial" w:hAnsi="Arial" w:cs="Arial"/>
        </w:rPr>
        <w:t>Infelizmente, o Direito decorrente do Processo tornou-se moroso e caro.</w:t>
      </w:r>
      <w:r w:rsidR="00EB05C5">
        <w:rPr>
          <w:rFonts w:ascii="Arial" w:hAnsi="Arial" w:cs="Arial"/>
        </w:rPr>
        <w:t xml:space="preserve"> Num movimento mundial está ocorrendo a c</w:t>
      </w:r>
      <w:r w:rsidR="00EB05C5" w:rsidRPr="00EB05C5">
        <w:rPr>
          <w:rFonts w:ascii="Arial" w:hAnsi="Arial" w:cs="Arial"/>
        </w:rPr>
        <w:t xml:space="preserve">riação de </w:t>
      </w:r>
      <w:r w:rsidR="00EB05C5">
        <w:rPr>
          <w:rFonts w:ascii="Arial" w:hAnsi="Arial" w:cs="Arial"/>
        </w:rPr>
        <w:t>m</w:t>
      </w:r>
      <w:r w:rsidR="00EB05C5" w:rsidRPr="00EB05C5">
        <w:rPr>
          <w:rFonts w:ascii="Arial" w:hAnsi="Arial" w:cs="Arial"/>
        </w:rPr>
        <w:t xml:space="preserve">ecanismos </w:t>
      </w:r>
      <w:r w:rsidR="00EB05C5">
        <w:rPr>
          <w:rFonts w:ascii="Arial" w:hAnsi="Arial" w:cs="Arial"/>
        </w:rPr>
        <w:t>a</w:t>
      </w:r>
      <w:r w:rsidR="00EB05C5" w:rsidRPr="00EB05C5">
        <w:rPr>
          <w:rFonts w:ascii="Arial" w:hAnsi="Arial" w:cs="Arial"/>
        </w:rPr>
        <w:t xml:space="preserve">lternativos de </w:t>
      </w:r>
      <w:r w:rsidR="00EB05C5">
        <w:rPr>
          <w:rFonts w:ascii="Arial" w:hAnsi="Arial" w:cs="Arial"/>
        </w:rPr>
        <w:t>r</w:t>
      </w:r>
      <w:r w:rsidR="00EB05C5" w:rsidRPr="00EB05C5">
        <w:rPr>
          <w:rFonts w:ascii="Arial" w:hAnsi="Arial" w:cs="Arial"/>
        </w:rPr>
        <w:t xml:space="preserve">esolução de </w:t>
      </w:r>
      <w:r w:rsidR="00EB05C5">
        <w:rPr>
          <w:rFonts w:ascii="Arial" w:hAnsi="Arial" w:cs="Arial"/>
        </w:rPr>
        <w:t>c</w:t>
      </w:r>
      <w:r w:rsidR="00EB05C5" w:rsidRPr="00EB05C5">
        <w:rPr>
          <w:rFonts w:ascii="Arial" w:hAnsi="Arial" w:cs="Arial"/>
        </w:rPr>
        <w:t>onflitos (MARC)</w:t>
      </w:r>
      <w:r w:rsidR="00EB05C5">
        <w:rPr>
          <w:rFonts w:ascii="Arial" w:hAnsi="Arial" w:cs="Arial"/>
        </w:rPr>
        <w:t>, por s</w:t>
      </w:r>
      <w:r w:rsidR="00EB05C5" w:rsidRPr="00EB05C5">
        <w:rPr>
          <w:rFonts w:ascii="Arial" w:hAnsi="Arial" w:cs="Arial"/>
        </w:rPr>
        <w:t>ugestão do Banco Mundial (</w:t>
      </w:r>
      <w:r w:rsidR="00EB05C5" w:rsidRPr="00EB05C5">
        <w:rPr>
          <w:rFonts w:ascii="Arial" w:hAnsi="Arial" w:cs="Arial"/>
          <w:b/>
        </w:rPr>
        <w:t xml:space="preserve">Documento Técnico nº </w:t>
      </w:r>
      <w:proofErr w:type="gramStart"/>
      <w:r w:rsidR="00EB05C5" w:rsidRPr="00EB05C5">
        <w:rPr>
          <w:rFonts w:ascii="Arial" w:hAnsi="Arial" w:cs="Arial"/>
          <w:b/>
        </w:rPr>
        <w:t xml:space="preserve">319 </w:t>
      </w:r>
      <w:r w:rsidR="00EB05C5" w:rsidRPr="00EB05C5">
        <w:rPr>
          <w:rStyle w:val="Refdenotaderodap"/>
          <w:rFonts w:ascii="Arial" w:hAnsi="Arial" w:cs="Arial"/>
          <w:b/>
        </w:rPr>
        <w:footnoteReference w:id="2"/>
      </w:r>
      <w:r w:rsidR="00EB05C5" w:rsidRPr="00EB05C5">
        <w:rPr>
          <w:rFonts w:ascii="Arial" w:hAnsi="Arial" w:cs="Arial"/>
        </w:rPr>
        <w:t>)</w:t>
      </w:r>
      <w:proofErr w:type="gramEnd"/>
      <w:r w:rsidR="00EB05C5">
        <w:rPr>
          <w:rFonts w:ascii="Arial" w:hAnsi="Arial" w:cs="Arial"/>
        </w:rPr>
        <w:t xml:space="preserve">, a fim de disponibilizar </w:t>
      </w:r>
      <w:r w:rsidR="001C0FF5">
        <w:rPr>
          <w:rFonts w:ascii="Arial" w:hAnsi="Arial" w:cs="Arial"/>
        </w:rPr>
        <w:t xml:space="preserve">aos usuários </w:t>
      </w:r>
      <w:r w:rsidR="00EB05C5">
        <w:rPr>
          <w:rFonts w:ascii="Arial" w:hAnsi="Arial" w:cs="Arial"/>
        </w:rPr>
        <w:t xml:space="preserve">o </w:t>
      </w:r>
      <w:r w:rsidRPr="00EB05C5">
        <w:rPr>
          <w:rFonts w:ascii="Arial" w:hAnsi="Arial" w:cs="Arial"/>
        </w:rPr>
        <w:t>Direito por outros meios</w:t>
      </w:r>
      <w:r w:rsidR="00EB05C5">
        <w:rPr>
          <w:rFonts w:ascii="Arial" w:hAnsi="Arial" w:cs="Arial"/>
        </w:rPr>
        <w:t xml:space="preserve"> que não só o processo judicial</w:t>
      </w:r>
      <w:r w:rsidR="00E27CCC">
        <w:rPr>
          <w:rFonts w:ascii="Arial" w:hAnsi="Arial" w:cs="Arial"/>
        </w:rPr>
        <w:t xml:space="preserve">, </w:t>
      </w:r>
      <w:r w:rsidR="00F21B24">
        <w:rPr>
          <w:rFonts w:ascii="Arial" w:hAnsi="Arial" w:cs="Arial"/>
        </w:rPr>
        <w:t>auxiliando</w:t>
      </w:r>
      <w:r w:rsidR="00E27CCC">
        <w:rPr>
          <w:rFonts w:ascii="Arial" w:hAnsi="Arial" w:cs="Arial"/>
        </w:rPr>
        <w:t xml:space="preserve"> o Poder Judiciário</w:t>
      </w:r>
      <w:r w:rsidR="00EB05C5">
        <w:rPr>
          <w:rFonts w:ascii="Arial" w:hAnsi="Arial" w:cs="Arial"/>
        </w:rPr>
        <w:t>. Inaugurou-se</w:t>
      </w:r>
      <w:r w:rsidR="00680268">
        <w:rPr>
          <w:rFonts w:ascii="Arial" w:hAnsi="Arial" w:cs="Arial"/>
        </w:rPr>
        <w:t xml:space="preserve">, assim, </w:t>
      </w:r>
      <w:r w:rsidR="00EB05C5">
        <w:rPr>
          <w:rFonts w:ascii="Arial" w:hAnsi="Arial" w:cs="Arial"/>
        </w:rPr>
        <w:t xml:space="preserve">o que se conhece por </w:t>
      </w:r>
      <w:proofErr w:type="spellStart"/>
      <w:r w:rsidR="00D8695C" w:rsidRPr="00EB05C5">
        <w:rPr>
          <w:rFonts w:ascii="Arial" w:hAnsi="Arial" w:cs="Arial"/>
        </w:rPr>
        <w:t>Desjudicialização</w:t>
      </w:r>
      <w:proofErr w:type="spellEnd"/>
      <w:r w:rsidR="00D8695C" w:rsidRPr="00EB05C5">
        <w:rPr>
          <w:rFonts w:ascii="Arial" w:hAnsi="Arial" w:cs="Arial"/>
        </w:rPr>
        <w:t>.</w:t>
      </w:r>
    </w:p>
    <w:p w:rsidR="00D8695C" w:rsidRDefault="00680268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 Brasil, os primeiro reflexos ocorreram com a r</w:t>
      </w:r>
      <w:r w:rsidR="00D8695C" w:rsidRPr="00EB05C5">
        <w:rPr>
          <w:rFonts w:ascii="Arial" w:hAnsi="Arial" w:cs="Arial"/>
        </w:rPr>
        <w:t>eestruturação do Processo</w:t>
      </w:r>
      <w:r>
        <w:rPr>
          <w:rFonts w:ascii="Arial" w:hAnsi="Arial" w:cs="Arial"/>
        </w:rPr>
        <w:t xml:space="preserve">, oriunda da reforma do Judiciário através da </w:t>
      </w:r>
      <w:r w:rsidRPr="00EB05C5">
        <w:rPr>
          <w:rFonts w:ascii="Arial" w:hAnsi="Arial" w:cs="Arial"/>
        </w:rPr>
        <w:t>Emenda Constitucional nº 45/04</w:t>
      </w:r>
      <w:r>
        <w:rPr>
          <w:rFonts w:ascii="Arial" w:hAnsi="Arial" w:cs="Arial"/>
        </w:rPr>
        <w:t xml:space="preserve">. Em face disso publicou-se a </w:t>
      </w:r>
      <w:r w:rsidR="00D8695C" w:rsidRPr="00EB05C5">
        <w:rPr>
          <w:rFonts w:ascii="Arial" w:hAnsi="Arial" w:cs="Arial"/>
        </w:rPr>
        <w:t>Lei nº 9.099/95</w:t>
      </w:r>
      <w:r>
        <w:rPr>
          <w:rFonts w:ascii="Arial" w:hAnsi="Arial" w:cs="Arial"/>
        </w:rPr>
        <w:t xml:space="preserve"> (Juizados Especiais), foi criado o mecanismo de</w:t>
      </w:r>
      <w:r w:rsidR="00D8695C" w:rsidRPr="00EB05C5">
        <w:rPr>
          <w:rFonts w:ascii="Arial" w:hAnsi="Arial" w:cs="Arial"/>
        </w:rPr>
        <w:t xml:space="preserve"> antecipação de tutela</w:t>
      </w:r>
      <w:r>
        <w:rPr>
          <w:rFonts w:ascii="Arial" w:hAnsi="Arial" w:cs="Arial"/>
        </w:rPr>
        <w:t xml:space="preserve"> (art. 273 do CPC revogado)</w:t>
      </w:r>
      <w:r w:rsidR="00D8695C" w:rsidRPr="00EB05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bem como foram introduzidas modificações nos recursos etc.</w:t>
      </w:r>
    </w:p>
    <w:p w:rsidR="00D8695C" w:rsidRDefault="00680268" w:rsidP="00680268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âmbito extrajudicial, com igual reflexo para os administrados, passou-se a contemplar novas atribuições aos </w:t>
      </w:r>
      <w:r w:rsidR="00E5150F" w:rsidRPr="00EB05C5">
        <w:rPr>
          <w:rFonts w:ascii="Arial" w:hAnsi="Arial" w:cs="Arial"/>
        </w:rPr>
        <w:t>Serviços Notariais e Registrais</w:t>
      </w:r>
      <w:r w:rsidR="007F6CF8">
        <w:rPr>
          <w:rFonts w:ascii="Arial" w:hAnsi="Arial" w:cs="Arial"/>
        </w:rPr>
        <w:t xml:space="preserve"> (foco desta breve exposição)</w:t>
      </w:r>
      <w:r w:rsidR="00E5150F" w:rsidRPr="00EB05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bem como foram publicadas as Lei da Arbitragem (Lei nº 9.307/96</w:t>
      </w:r>
      <w:r w:rsidR="00D8695C" w:rsidRPr="00EB05C5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da </w:t>
      </w:r>
      <w:r w:rsidR="00D8695C" w:rsidRPr="00EB05C5">
        <w:rPr>
          <w:rFonts w:ascii="Arial" w:hAnsi="Arial" w:cs="Arial"/>
        </w:rPr>
        <w:t xml:space="preserve">Recuperação </w:t>
      </w:r>
      <w:r w:rsidR="00DF0561">
        <w:rPr>
          <w:rFonts w:ascii="Arial" w:hAnsi="Arial" w:cs="Arial"/>
        </w:rPr>
        <w:t xml:space="preserve">Judicial, </w:t>
      </w:r>
      <w:r w:rsidR="00D8695C" w:rsidRPr="00EB05C5">
        <w:rPr>
          <w:rFonts w:ascii="Arial" w:hAnsi="Arial" w:cs="Arial"/>
        </w:rPr>
        <w:t>Extrajudicial</w:t>
      </w:r>
      <w:r w:rsidR="00DF0561">
        <w:rPr>
          <w:rFonts w:ascii="Arial" w:hAnsi="Arial" w:cs="Arial"/>
        </w:rPr>
        <w:t xml:space="preserve"> e Falência</w:t>
      </w:r>
      <w:r>
        <w:rPr>
          <w:rFonts w:ascii="Arial" w:hAnsi="Arial" w:cs="Arial"/>
        </w:rPr>
        <w:t xml:space="preserve"> (</w:t>
      </w:r>
      <w:r w:rsidRPr="00EB05C5">
        <w:rPr>
          <w:rFonts w:ascii="Arial" w:hAnsi="Arial" w:cs="Arial"/>
        </w:rPr>
        <w:t>Lei nº 11.101/05</w:t>
      </w:r>
      <w:r w:rsidR="00D8695C" w:rsidRPr="00EB05C5">
        <w:rPr>
          <w:rFonts w:ascii="Arial" w:hAnsi="Arial" w:cs="Arial"/>
        </w:rPr>
        <w:t>)</w:t>
      </w:r>
      <w:r w:rsidR="007F6CF8">
        <w:rPr>
          <w:rFonts w:ascii="Arial" w:hAnsi="Arial" w:cs="Arial"/>
        </w:rPr>
        <w:t xml:space="preserve"> e da Mediação e Conciliação (Lei nº 13.140/15</w:t>
      </w:r>
      <w:r w:rsidR="00342731" w:rsidRPr="00EB05C5">
        <w:rPr>
          <w:rFonts w:ascii="Arial" w:hAnsi="Arial" w:cs="Arial"/>
        </w:rPr>
        <w:t>)</w:t>
      </w:r>
      <w:r w:rsidR="00E5150F" w:rsidRPr="00EB05C5">
        <w:rPr>
          <w:rFonts w:ascii="Arial" w:hAnsi="Arial" w:cs="Arial"/>
        </w:rPr>
        <w:t>.</w:t>
      </w:r>
    </w:p>
    <w:p w:rsidR="00FB1E3B" w:rsidRDefault="007F6CF8" w:rsidP="00FB1E3B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eastAsia="Ebrima" w:hAnsi="Arial" w:cs="Arial"/>
        </w:rPr>
      </w:pPr>
      <w:r>
        <w:rPr>
          <w:rFonts w:ascii="Arial" w:hAnsi="Arial" w:cs="Arial"/>
        </w:rPr>
        <w:t>Especificamente no que tange aos Serviços Notariais e Registrais</w:t>
      </w:r>
      <w:r w:rsidR="00FB1E3B">
        <w:rPr>
          <w:rFonts w:ascii="Arial" w:hAnsi="Arial" w:cs="Arial"/>
        </w:rPr>
        <w:t xml:space="preserve">, a crise da hipoteca originária </w:t>
      </w:r>
      <w:r w:rsidR="001C0FF5">
        <w:rPr>
          <w:rFonts w:ascii="Arial" w:hAnsi="Arial" w:cs="Arial"/>
        </w:rPr>
        <w:t>da</w:t>
      </w:r>
      <w:r w:rsidR="00FB1E3B">
        <w:rPr>
          <w:rFonts w:ascii="Arial" w:hAnsi="Arial" w:cs="Arial"/>
        </w:rPr>
        <w:t xml:space="preserve"> Súmula 308 do STJ fez surgir a a</w:t>
      </w:r>
      <w:r w:rsidR="00342731" w:rsidRPr="00EB05C5">
        <w:rPr>
          <w:rFonts w:ascii="Arial" w:hAnsi="Arial" w:cs="Arial"/>
        </w:rPr>
        <w:t xml:space="preserve">lienação </w:t>
      </w:r>
      <w:r w:rsidR="00FB1E3B">
        <w:rPr>
          <w:rFonts w:ascii="Arial" w:hAnsi="Arial" w:cs="Arial"/>
        </w:rPr>
        <w:t>f</w:t>
      </w:r>
      <w:r w:rsidR="00342731" w:rsidRPr="00EB05C5">
        <w:rPr>
          <w:rFonts w:ascii="Arial" w:hAnsi="Arial" w:cs="Arial"/>
        </w:rPr>
        <w:t>iduciária</w:t>
      </w:r>
      <w:r w:rsidR="00FB1E3B">
        <w:rPr>
          <w:rFonts w:ascii="Arial" w:hAnsi="Arial" w:cs="Arial"/>
        </w:rPr>
        <w:t xml:space="preserve"> de imóveis. </w:t>
      </w:r>
      <w:r w:rsidR="00203379" w:rsidRPr="00EB05C5">
        <w:rPr>
          <w:rFonts w:ascii="Arial" w:eastAsia="Ebrima" w:hAnsi="Arial" w:cs="Arial"/>
        </w:rPr>
        <w:t xml:space="preserve">A ideia embrionária de </w:t>
      </w:r>
      <w:r w:rsidR="00621683" w:rsidRPr="00EB05C5">
        <w:rPr>
          <w:rFonts w:ascii="Arial" w:eastAsia="Ebrima" w:hAnsi="Arial" w:cs="Arial"/>
        </w:rPr>
        <w:t>desafogar</w:t>
      </w:r>
      <w:r w:rsidR="00203379" w:rsidRPr="00EB05C5">
        <w:rPr>
          <w:rFonts w:ascii="Arial" w:eastAsia="Ebrima" w:hAnsi="Arial" w:cs="Arial"/>
        </w:rPr>
        <w:t xml:space="preserve"> o Judiciário </w:t>
      </w:r>
      <w:r w:rsidR="00621683" w:rsidRPr="00EB05C5">
        <w:rPr>
          <w:rFonts w:ascii="Arial" w:eastAsia="Ebrima" w:hAnsi="Arial" w:cs="Arial"/>
        </w:rPr>
        <w:t>d</w:t>
      </w:r>
      <w:r w:rsidR="00203379" w:rsidRPr="00EB05C5">
        <w:rPr>
          <w:rFonts w:ascii="Arial" w:eastAsia="Ebrima" w:hAnsi="Arial" w:cs="Arial"/>
        </w:rPr>
        <w:t xml:space="preserve">a sobrecarga de processos, compartilhando com Notários e Registradores os procedimentos que poderiam, com segurança, ser por eles praticados, começou a tomar forma com a </w:t>
      </w:r>
      <w:r w:rsidR="00203379" w:rsidRPr="00EB05C5">
        <w:rPr>
          <w:rFonts w:ascii="Arial" w:eastAsia="Ebrima" w:hAnsi="Arial" w:cs="Arial"/>
          <w:b/>
        </w:rPr>
        <w:t>Lei nº 9.514/97</w:t>
      </w:r>
      <w:r w:rsidR="00DF0561">
        <w:rPr>
          <w:rFonts w:ascii="Arial" w:eastAsia="Ebrima" w:hAnsi="Arial" w:cs="Arial"/>
        </w:rPr>
        <w:t xml:space="preserve">, iniciando o processo de </w:t>
      </w:r>
      <w:proofErr w:type="spellStart"/>
      <w:r w:rsidR="00DF0561">
        <w:rPr>
          <w:rFonts w:ascii="Arial" w:eastAsia="Ebrima" w:hAnsi="Arial" w:cs="Arial"/>
        </w:rPr>
        <w:t>Desjudicialização</w:t>
      </w:r>
      <w:proofErr w:type="spellEnd"/>
      <w:r w:rsidR="00F21B24">
        <w:rPr>
          <w:rFonts w:ascii="Arial" w:eastAsia="Ebrima" w:hAnsi="Arial" w:cs="Arial"/>
        </w:rPr>
        <w:t xml:space="preserve"> há 20 anos</w:t>
      </w:r>
      <w:r w:rsidR="00203379" w:rsidRPr="00EB05C5">
        <w:rPr>
          <w:rFonts w:ascii="Arial" w:eastAsia="Ebrima" w:hAnsi="Arial" w:cs="Arial"/>
        </w:rPr>
        <w:t xml:space="preserve">. Através desta </w:t>
      </w:r>
      <w:r w:rsidR="00FB1E3B">
        <w:rPr>
          <w:rFonts w:ascii="Arial" w:eastAsia="Ebrima" w:hAnsi="Arial" w:cs="Arial"/>
        </w:rPr>
        <w:t>l</w:t>
      </w:r>
      <w:r w:rsidR="00203379" w:rsidRPr="00EB05C5">
        <w:rPr>
          <w:rFonts w:ascii="Arial" w:eastAsia="Ebrima" w:hAnsi="Arial" w:cs="Arial"/>
        </w:rPr>
        <w:t xml:space="preserve">ei passou-se a permitir </w:t>
      </w:r>
      <w:r w:rsidR="00FB1E3B">
        <w:rPr>
          <w:rFonts w:ascii="Arial" w:eastAsia="Ebrima" w:hAnsi="Arial" w:cs="Arial"/>
        </w:rPr>
        <w:t>a prática de atos diretamente pelos cartórios, sem a intervenção judicial, visando a constituição em mora de dívida não honrada, como a realização de intimações, que ao fim e ao cabo conduzam à consolidação da propriedade em nome do credor. C</w:t>
      </w:r>
      <w:r w:rsidR="00203379" w:rsidRPr="00EB05C5">
        <w:rPr>
          <w:rFonts w:ascii="Arial" w:eastAsia="Ebrima" w:hAnsi="Arial" w:cs="Arial"/>
        </w:rPr>
        <w:t xml:space="preserve">om efeito, o mutuário é intimado para pagar a dívida em 15 dias e, em não o fazendo, emite-se a certidão de sua constituição em mora </w:t>
      </w:r>
      <w:r w:rsidR="00FB1E3B">
        <w:rPr>
          <w:rFonts w:ascii="Arial" w:eastAsia="Ebrima" w:hAnsi="Arial" w:cs="Arial"/>
        </w:rPr>
        <w:t>com a qual</w:t>
      </w:r>
      <w:r w:rsidR="00203379" w:rsidRPr="00EB05C5">
        <w:rPr>
          <w:rFonts w:ascii="Arial" w:eastAsia="Ebrima" w:hAnsi="Arial" w:cs="Arial"/>
        </w:rPr>
        <w:t xml:space="preserve">, comprovado o pagamento do imposto de transmissão, efetua-se a averbação da consolidação da propriedade plena em nome do credor. </w:t>
      </w:r>
      <w:r w:rsidR="00203379" w:rsidRPr="00FB1E3B">
        <w:rPr>
          <w:rFonts w:ascii="Arial" w:eastAsia="Ebrima" w:hAnsi="Arial" w:cs="Arial"/>
        </w:rPr>
        <w:t xml:space="preserve">Ou seja, se após dada a oportunidade para a purgação da mora o devedor não adimplir sua obrigação ele perde a pretensão real de aquisição do imóvel e o credor fiduciário se tornará o </w:t>
      </w:r>
      <w:r w:rsidR="00FB1E3B">
        <w:rPr>
          <w:rFonts w:ascii="Arial" w:eastAsia="Ebrima" w:hAnsi="Arial" w:cs="Arial"/>
        </w:rPr>
        <w:t xml:space="preserve">legítimo </w:t>
      </w:r>
      <w:r w:rsidR="00203379" w:rsidRPr="00FB1E3B">
        <w:rPr>
          <w:rFonts w:ascii="Arial" w:eastAsia="Ebrima" w:hAnsi="Arial" w:cs="Arial"/>
        </w:rPr>
        <w:t>proprietário do imóvel</w:t>
      </w:r>
      <w:r w:rsidR="00FB1E3B">
        <w:rPr>
          <w:rFonts w:ascii="Arial" w:eastAsia="Ebrima" w:hAnsi="Arial" w:cs="Arial"/>
        </w:rPr>
        <w:t xml:space="preserve"> antes transferido em caráter fiduciário,</w:t>
      </w:r>
      <w:r w:rsidR="00203379" w:rsidRPr="00FB1E3B">
        <w:rPr>
          <w:rFonts w:ascii="Arial" w:eastAsia="Ebrima" w:hAnsi="Arial" w:cs="Arial"/>
        </w:rPr>
        <w:t xml:space="preserve"> necessitando</w:t>
      </w:r>
      <w:r w:rsidR="00FB1E3B">
        <w:rPr>
          <w:rFonts w:ascii="Arial" w:eastAsia="Ebrima" w:hAnsi="Arial" w:cs="Arial"/>
        </w:rPr>
        <w:t>, após,</w:t>
      </w:r>
      <w:r w:rsidR="00203379" w:rsidRPr="00FB1E3B">
        <w:rPr>
          <w:rFonts w:ascii="Arial" w:eastAsia="Ebrima" w:hAnsi="Arial" w:cs="Arial"/>
        </w:rPr>
        <w:t xml:space="preserve"> realizar o leilão. Tudo isso</w:t>
      </w:r>
      <w:r w:rsidR="00FB1E3B">
        <w:rPr>
          <w:rFonts w:ascii="Arial" w:eastAsia="Ebrima" w:hAnsi="Arial" w:cs="Arial"/>
        </w:rPr>
        <w:t xml:space="preserve">, frisa-se, </w:t>
      </w:r>
      <w:r w:rsidR="00203379" w:rsidRPr="00FB1E3B">
        <w:rPr>
          <w:rFonts w:ascii="Arial" w:eastAsia="Ebrima" w:hAnsi="Arial" w:cs="Arial"/>
        </w:rPr>
        <w:t>sem a necessidade de ação judicial</w:t>
      </w:r>
      <w:r w:rsidR="00203379" w:rsidRPr="00EB05C5">
        <w:rPr>
          <w:rFonts w:ascii="Arial" w:eastAsia="Ebrima" w:hAnsi="Arial" w:cs="Arial"/>
        </w:rPr>
        <w:t>.</w:t>
      </w:r>
    </w:p>
    <w:p w:rsidR="0028739C" w:rsidRDefault="0028739C" w:rsidP="00FB1E3B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eastAsia="Ebrima" w:hAnsi="Arial" w:cs="Arial"/>
        </w:rPr>
      </w:pPr>
      <w:r>
        <w:rPr>
          <w:rFonts w:ascii="Arial" w:eastAsia="Ebrima" w:hAnsi="Arial" w:cs="Arial"/>
        </w:rPr>
        <w:t>Neste aspecto ainda não há um estudo apontando os benefícios alcançados em ternos de economia para o Poder Judiciário.</w:t>
      </w:r>
    </w:p>
    <w:p w:rsidR="00595FC2" w:rsidRDefault="00FB1E3B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eastAsia="Ebrima" w:hAnsi="Arial" w:cs="Arial"/>
        </w:rPr>
        <w:lastRenderedPageBreak/>
        <w:t xml:space="preserve">Depois, adveio e a </w:t>
      </w:r>
      <w:r w:rsidR="00203379" w:rsidRPr="00EB05C5">
        <w:rPr>
          <w:rFonts w:ascii="Arial" w:eastAsia="Ebrima" w:hAnsi="Arial" w:cs="Arial"/>
        </w:rPr>
        <w:tab/>
      </w:r>
      <w:r w:rsidR="00342731" w:rsidRPr="00EB05C5">
        <w:rPr>
          <w:rFonts w:ascii="Arial" w:hAnsi="Arial" w:cs="Arial"/>
        </w:rPr>
        <w:t>Lei nº 10.931/04</w:t>
      </w:r>
      <w:r>
        <w:rPr>
          <w:rFonts w:ascii="Arial" w:hAnsi="Arial" w:cs="Arial"/>
        </w:rPr>
        <w:t>, a qual alterou o procedimento de retificação de registro imobiliário (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212 ao 214 da Lei nº 6.015/73) e, com isso, passou-se a remeter para o Poder Judiciário apenas os casos em que não fosse possível </w:t>
      </w:r>
      <w:r w:rsidR="003A2B45">
        <w:rPr>
          <w:rFonts w:ascii="Arial" w:hAnsi="Arial" w:cs="Arial"/>
        </w:rPr>
        <w:t>resolver amigavelmente</w:t>
      </w:r>
      <w:r>
        <w:rPr>
          <w:rFonts w:ascii="Arial" w:hAnsi="Arial" w:cs="Arial"/>
        </w:rPr>
        <w:t xml:space="preserve"> </w:t>
      </w:r>
      <w:r w:rsidR="003A2B4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conflito de divisa.</w:t>
      </w:r>
      <w:r w:rsidR="00595FC2">
        <w:rPr>
          <w:rFonts w:ascii="Arial" w:hAnsi="Arial" w:cs="Arial"/>
        </w:rPr>
        <w:t xml:space="preserve"> Da alteração legislativa até hoje (2017) milh</w:t>
      </w:r>
      <w:r w:rsidR="00FF1DFD">
        <w:rPr>
          <w:rFonts w:ascii="Arial" w:hAnsi="Arial" w:cs="Arial"/>
        </w:rPr>
        <w:t>ares</w:t>
      </w:r>
      <w:r w:rsidR="00595FC2">
        <w:rPr>
          <w:rFonts w:ascii="Arial" w:hAnsi="Arial" w:cs="Arial"/>
        </w:rPr>
        <w:t xml:space="preserve"> de retificações foram procedidas </w:t>
      </w:r>
      <w:r w:rsidR="0028739C">
        <w:rPr>
          <w:rFonts w:ascii="Arial" w:hAnsi="Arial" w:cs="Arial"/>
        </w:rPr>
        <w:t xml:space="preserve">via Registros de Imóveis (antes só através de processo judicial) </w:t>
      </w:r>
      <w:r w:rsidR="00595FC2">
        <w:rPr>
          <w:rFonts w:ascii="Arial" w:hAnsi="Arial" w:cs="Arial"/>
        </w:rPr>
        <w:t>sem que se tenha notícia da anulação de qualquer destes expedientes.</w:t>
      </w:r>
      <w:r w:rsidR="0028739C">
        <w:rPr>
          <w:rFonts w:ascii="Arial" w:hAnsi="Arial" w:cs="Arial"/>
        </w:rPr>
        <w:t xml:space="preserve"> </w:t>
      </w:r>
    </w:p>
    <w:p w:rsidR="00595FC2" w:rsidRDefault="0028739C" w:rsidP="00595FC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primeira década de </w:t>
      </w:r>
      <w:proofErr w:type="spellStart"/>
      <w:r>
        <w:rPr>
          <w:rFonts w:ascii="Arial" w:hAnsi="Arial" w:cs="Arial"/>
        </w:rPr>
        <w:t>desjudicialização</w:t>
      </w:r>
      <w:proofErr w:type="spellEnd"/>
      <w:r>
        <w:rPr>
          <w:rFonts w:ascii="Arial" w:hAnsi="Arial" w:cs="Arial"/>
        </w:rPr>
        <w:t>, de 1997, através da alienação fiduciária da Lei nº 9.514, até 2007, com a Lei nº 11.441, foi possível aferir vantagens imensuráveis para os administrados e para o Poder Judiciário. E a partir de 2007 o sucesso foi ainda maior.</w:t>
      </w:r>
      <w:r w:rsidR="004D2B0A">
        <w:rPr>
          <w:rFonts w:ascii="Arial" w:hAnsi="Arial" w:cs="Arial"/>
        </w:rPr>
        <w:t xml:space="preserve"> </w:t>
      </w:r>
      <w:proofErr w:type="spellStart"/>
      <w:r w:rsidR="00595FC2">
        <w:rPr>
          <w:rFonts w:ascii="Arial" w:hAnsi="Arial" w:cs="Arial"/>
        </w:rPr>
        <w:t>Hod</w:t>
      </w:r>
      <w:r w:rsidR="004D2B0A">
        <w:rPr>
          <w:rFonts w:ascii="Arial" w:hAnsi="Arial" w:cs="Arial"/>
        </w:rPr>
        <w:t>je</w:t>
      </w:r>
      <w:proofErr w:type="spellEnd"/>
      <w:r w:rsidR="00595FC2">
        <w:rPr>
          <w:rFonts w:ascii="Arial" w:hAnsi="Arial" w:cs="Arial"/>
        </w:rPr>
        <w:t xml:space="preserve"> comemora-se </w:t>
      </w:r>
      <w:r>
        <w:rPr>
          <w:rFonts w:ascii="Arial" w:hAnsi="Arial" w:cs="Arial"/>
        </w:rPr>
        <w:t>a</w:t>
      </w:r>
      <w:r w:rsidR="00595FC2">
        <w:rPr>
          <w:rFonts w:ascii="Arial" w:hAnsi="Arial" w:cs="Arial"/>
        </w:rPr>
        <w:t xml:space="preserve"> primeir</w:t>
      </w:r>
      <w:r>
        <w:rPr>
          <w:rFonts w:ascii="Arial" w:hAnsi="Arial" w:cs="Arial"/>
        </w:rPr>
        <w:t xml:space="preserve">a década </w:t>
      </w:r>
      <w:r w:rsidR="00595FC2">
        <w:rPr>
          <w:rFonts w:ascii="Arial" w:hAnsi="Arial" w:cs="Arial"/>
        </w:rPr>
        <w:t xml:space="preserve">de vigência da </w:t>
      </w:r>
      <w:r w:rsidR="001004E2" w:rsidRPr="00EB05C5">
        <w:rPr>
          <w:rFonts w:ascii="Arial" w:hAnsi="Arial" w:cs="Arial"/>
        </w:rPr>
        <w:t>Lei nº 11.441/07</w:t>
      </w:r>
      <w:r w:rsidR="00595FC2">
        <w:rPr>
          <w:rFonts w:ascii="Arial" w:hAnsi="Arial" w:cs="Arial"/>
        </w:rPr>
        <w:t xml:space="preserve"> e da Resolu</w:t>
      </w:r>
      <w:r w:rsidR="004D2B0A">
        <w:rPr>
          <w:rFonts w:ascii="Arial" w:hAnsi="Arial" w:cs="Arial"/>
        </w:rPr>
        <w:t>ç</w:t>
      </w:r>
      <w:r w:rsidR="00595FC2">
        <w:rPr>
          <w:rFonts w:ascii="Arial" w:hAnsi="Arial" w:cs="Arial"/>
        </w:rPr>
        <w:t>ão nº 35 do CNJ, que permitiram a realização de partilhas em inventários, separações e divórcios por e</w:t>
      </w:r>
      <w:r w:rsidR="001004E2" w:rsidRPr="00EB05C5">
        <w:rPr>
          <w:rFonts w:ascii="Arial" w:hAnsi="Arial" w:cs="Arial"/>
        </w:rPr>
        <w:t>scritura</w:t>
      </w:r>
      <w:r w:rsidR="00595FC2">
        <w:rPr>
          <w:rFonts w:ascii="Arial" w:hAnsi="Arial" w:cs="Arial"/>
        </w:rPr>
        <w:t xml:space="preserve"> pública quando presente o consenso, observados os requisitos legais. </w:t>
      </w:r>
    </w:p>
    <w:p w:rsidR="002F25B7" w:rsidRDefault="00595FC2" w:rsidP="00595FC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eastAsia="Ebrima" w:hAnsi="Arial" w:cs="Arial"/>
        </w:rPr>
      </w:pPr>
      <w:r>
        <w:rPr>
          <w:rFonts w:ascii="Arial" w:hAnsi="Arial" w:cs="Arial"/>
        </w:rPr>
        <w:t>A</w:t>
      </w:r>
      <w:r w:rsidR="002F25B7" w:rsidRPr="00EB05C5">
        <w:rPr>
          <w:rFonts w:ascii="Arial" w:eastAsia="Ebrima" w:hAnsi="Arial" w:cs="Arial"/>
        </w:rPr>
        <w:t xml:space="preserve"> citada Resolução permitiu aos Notários e Registradores a tranquila, inequívoca e harmônica aplicação dos institutos no exercício de suas funções delegadas, em consonância com </w:t>
      </w:r>
      <w:r>
        <w:rPr>
          <w:rFonts w:ascii="Arial" w:eastAsia="Ebrima" w:hAnsi="Arial" w:cs="Arial"/>
        </w:rPr>
        <w:t xml:space="preserve">a Constituição Federal e observados os postulados do arcabouço normativo </w:t>
      </w:r>
      <w:r w:rsidR="002F25B7" w:rsidRPr="00EB05C5">
        <w:rPr>
          <w:rFonts w:ascii="Arial" w:eastAsia="Ebrima" w:hAnsi="Arial" w:cs="Arial"/>
        </w:rPr>
        <w:t>notarial e registral.</w:t>
      </w:r>
      <w:r>
        <w:rPr>
          <w:rFonts w:ascii="Arial" w:eastAsia="Ebrima" w:hAnsi="Arial" w:cs="Arial"/>
        </w:rPr>
        <w:t xml:space="preserve"> </w:t>
      </w:r>
    </w:p>
    <w:p w:rsidR="00595FC2" w:rsidRPr="00EB05C5" w:rsidRDefault="0028739C" w:rsidP="00595FC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eastAsia="Ebrima" w:hAnsi="Arial" w:cs="Arial"/>
        </w:rPr>
      </w:pPr>
      <w:r>
        <w:rPr>
          <w:rFonts w:ascii="Arial" w:eastAsia="Ebrima" w:hAnsi="Arial" w:cs="Arial"/>
        </w:rPr>
        <w:t xml:space="preserve">O Colégio Notarial do Brasil – Conselho Federal </w:t>
      </w:r>
      <w:r w:rsidR="004D2B0A">
        <w:rPr>
          <w:rFonts w:ascii="Arial" w:eastAsia="Ebrima" w:hAnsi="Arial" w:cs="Arial"/>
        </w:rPr>
        <w:t>e</w:t>
      </w:r>
      <w:r w:rsidR="00595FC2">
        <w:rPr>
          <w:rFonts w:ascii="Arial" w:eastAsia="Ebrima" w:hAnsi="Arial" w:cs="Arial"/>
        </w:rPr>
        <w:t xml:space="preserve">stima que hoje, passada a primeira década de vigência da Lei nº 11.441/07, já se tenha lavrado mais de </w:t>
      </w:r>
      <w:r w:rsidR="00595FC2" w:rsidRPr="003A2B45">
        <w:rPr>
          <w:rFonts w:ascii="Arial" w:eastAsia="Ebrima" w:hAnsi="Arial" w:cs="Arial"/>
          <w:b/>
        </w:rPr>
        <w:t>hum milhão e meio de escrituras</w:t>
      </w:r>
      <w:r w:rsidR="00595FC2">
        <w:rPr>
          <w:rFonts w:ascii="Arial" w:eastAsia="Ebrima" w:hAnsi="Arial" w:cs="Arial"/>
        </w:rPr>
        <w:t>, evitando, com isso, igual número de processos judiciais. Deste montante calcula-se que tenham sido realizados mais de 420 mil divórcios, 43 mil separações, 85</w:t>
      </w:r>
      <w:r w:rsidR="00EB0088">
        <w:rPr>
          <w:rFonts w:ascii="Arial" w:eastAsia="Ebrima" w:hAnsi="Arial" w:cs="Arial"/>
        </w:rPr>
        <w:t>0 mil inventários e 14</w:t>
      </w:r>
      <w:r w:rsidR="00595FC2">
        <w:rPr>
          <w:rFonts w:ascii="Arial" w:eastAsia="Ebrima" w:hAnsi="Arial" w:cs="Arial"/>
        </w:rPr>
        <w:t xml:space="preserve"> mil partilhas, com a economia de cerca de </w:t>
      </w:r>
      <w:r w:rsidR="00595FC2" w:rsidRPr="003A2B45">
        <w:rPr>
          <w:rFonts w:ascii="Arial" w:eastAsia="Ebrima" w:hAnsi="Arial" w:cs="Arial"/>
          <w:b/>
        </w:rPr>
        <w:t>3 bilhões e meio de reais aos cofres públicos</w:t>
      </w:r>
      <w:r w:rsidR="00595FC2">
        <w:rPr>
          <w:rFonts w:ascii="Arial" w:eastAsia="Ebrima" w:hAnsi="Arial" w:cs="Arial"/>
        </w:rPr>
        <w:t>.</w:t>
      </w:r>
      <w:r w:rsidR="004D2B0A">
        <w:rPr>
          <w:rFonts w:ascii="Arial" w:eastAsia="Ebrima" w:hAnsi="Arial" w:cs="Arial"/>
        </w:rPr>
        <w:t xml:space="preserve"> Meus cumprimentos aos Notários e aos Registradores por demonstrarem estar aptos e capazes de receber do legislador autorização para concretizarem o Direito na seara extrajudicial, quando não </w:t>
      </w:r>
      <w:r w:rsidR="00EB0088">
        <w:rPr>
          <w:rFonts w:ascii="Arial" w:eastAsia="Ebrima" w:hAnsi="Arial" w:cs="Arial"/>
        </w:rPr>
        <w:t xml:space="preserve">obrigatória </w:t>
      </w:r>
      <w:r w:rsidR="004D2B0A">
        <w:rPr>
          <w:rFonts w:ascii="Arial" w:eastAsia="Ebrima" w:hAnsi="Arial" w:cs="Arial"/>
        </w:rPr>
        <w:t xml:space="preserve">a </w:t>
      </w:r>
      <w:r w:rsidR="00EB0088">
        <w:rPr>
          <w:rFonts w:ascii="Arial" w:eastAsia="Ebrima" w:hAnsi="Arial" w:cs="Arial"/>
        </w:rPr>
        <w:t xml:space="preserve">presença </w:t>
      </w:r>
      <w:r w:rsidR="004D2B0A">
        <w:rPr>
          <w:rFonts w:ascii="Arial" w:eastAsia="Ebrima" w:hAnsi="Arial" w:cs="Arial"/>
        </w:rPr>
        <w:t>do Estado-Juiz.</w:t>
      </w:r>
    </w:p>
    <w:p w:rsidR="002E5491" w:rsidRPr="00EB05C5" w:rsidRDefault="00595FC2" w:rsidP="002E5491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linha da </w:t>
      </w:r>
      <w:proofErr w:type="spellStart"/>
      <w:r>
        <w:rPr>
          <w:rFonts w:ascii="Arial" w:hAnsi="Arial" w:cs="Arial"/>
        </w:rPr>
        <w:t>Desjudicialização</w:t>
      </w:r>
      <w:proofErr w:type="spellEnd"/>
      <w:r>
        <w:rPr>
          <w:rFonts w:ascii="Arial" w:hAnsi="Arial" w:cs="Arial"/>
        </w:rPr>
        <w:t xml:space="preserve"> ainda foi possível contar com a </w:t>
      </w:r>
      <w:r w:rsidR="001004E2" w:rsidRPr="00EB05C5">
        <w:rPr>
          <w:rFonts w:ascii="Arial" w:hAnsi="Arial" w:cs="Arial"/>
        </w:rPr>
        <w:t>Lei nº 11.977/09</w:t>
      </w:r>
      <w:r>
        <w:rPr>
          <w:rFonts w:ascii="Arial" w:hAnsi="Arial" w:cs="Arial"/>
        </w:rPr>
        <w:t xml:space="preserve">, a qual previu a </w:t>
      </w:r>
      <w:r w:rsidR="001004E2" w:rsidRPr="00EB05C5">
        <w:rPr>
          <w:rFonts w:ascii="Arial" w:hAnsi="Arial" w:cs="Arial"/>
        </w:rPr>
        <w:t>Regularização Fundiária</w:t>
      </w:r>
      <w:r>
        <w:rPr>
          <w:rFonts w:ascii="Arial" w:hAnsi="Arial" w:cs="Arial"/>
        </w:rPr>
        <w:t>, que oportunizou o ingresso no mundo jurídico formal de milhares de imóveis que antes estavam na clandestinidade</w:t>
      </w:r>
      <w:r w:rsidR="003A2B45">
        <w:rPr>
          <w:rFonts w:ascii="Arial" w:hAnsi="Arial" w:cs="Arial"/>
        </w:rPr>
        <w:t xml:space="preserve"> (propriedade informal)</w:t>
      </w:r>
      <w:r>
        <w:rPr>
          <w:rFonts w:ascii="Arial" w:hAnsi="Arial" w:cs="Arial"/>
        </w:rPr>
        <w:t xml:space="preserve">, </w:t>
      </w:r>
      <w:r w:rsidR="00FF1DFD">
        <w:rPr>
          <w:rFonts w:ascii="Arial" w:hAnsi="Arial" w:cs="Arial"/>
        </w:rPr>
        <w:t xml:space="preserve">atendendo com plenitude o direito de moradia e </w:t>
      </w:r>
      <w:r>
        <w:rPr>
          <w:rFonts w:ascii="Arial" w:hAnsi="Arial" w:cs="Arial"/>
        </w:rPr>
        <w:t>fomentando o progresso e o desenvolvimento social e econômico dos beneficiados.</w:t>
      </w:r>
      <w:r w:rsidR="002E5491">
        <w:rPr>
          <w:rFonts w:ascii="Arial" w:hAnsi="Arial" w:cs="Arial"/>
        </w:rPr>
        <w:t xml:space="preserve"> Hoje contamos com a Lei nº 13.465/17, a qual tem maior aplicabilidade do que a lei anterior em face dos institutos que previu, como por exemplo a Legitimação Fundiária</w:t>
      </w:r>
      <w:r w:rsidR="00FF1DFD">
        <w:rPr>
          <w:rFonts w:ascii="Arial" w:hAnsi="Arial" w:cs="Arial"/>
        </w:rPr>
        <w:t>, o Direito Real de Laje, o Condomínio de Lotes etc</w:t>
      </w:r>
      <w:r w:rsidR="002E5491">
        <w:rPr>
          <w:rFonts w:ascii="Arial" w:hAnsi="Arial" w:cs="Arial"/>
        </w:rPr>
        <w:t xml:space="preserve">. Com efeito, alcança-se </w:t>
      </w:r>
      <w:r w:rsidR="002E5491" w:rsidRPr="00EB05C5">
        <w:rPr>
          <w:rFonts w:ascii="Arial" w:hAnsi="Arial" w:cs="Arial"/>
        </w:rPr>
        <w:t>a regularização</w:t>
      </w:r>
      <w:r w:rsidR="002E5491">
        <w:rPr>
          <w:rFonts w:ascii="Arial" w:hAnsi="Arial" w:cs="Arial"/>
        </w:rPr>
        <w:t xml:space="preserve"> imobiliária da propriedade particular </w:t>
      </w:r>
      <w:r w:rsidR="002E5491" w:rsidRPr="00EB05C5">
        <w:rPr>
          <w:rFonts w:ascii="Arial" w:hAnsi="Arial" w:cs="Arial"/>
        </w:rPr>
        <w:t xml:space="preserve">no âmbito </w:t>
      </w:r>
      <w:r w:rsidR="002E5491">
        <w:rPr>
          <w:rFonts w:ascii="Arial" w:hAnsi="Arial" w:cs="Arial"/>
        </w:rPr>
        <w:t>a</w:t>
      </w:r>
      <w:r w:rsidR="002E5491" w:rsidRPr="00EB05C5">
        <w:rPr>
          <w:rFonts w:ascii="Arial" w:hAnsi="Arial" w:cs="Arial"/>
        </w:rPr>
        <w:t>dministrativo</w:t>
      </w:r>
      <w:r w:rsidR="002E5491">
        <w:rPr>
          <w:rFonts w:ascii="Arial" w:hAnsi="Arial" w:cs="Arial"/>
        </w:rPr>
        <w:t>.</w:t>
      </w:r>
    </w:p>
    <w:p w:rsidR="001004E2" w:rsidRPr="00EB05C5" w:rsidRDefault="00595FC2" w:rsidP="001004E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a</w:t>
      </w:r>
      <w:r w:rsidR="00EB0088">
        <w:rPr>
          <w:rFonts w:ascii="Arial" w:hAnsi="Arial" w:cs="Arial"/>
        </w:rPr>
        <w:t xml:space="preserve"> população brasileira a</w:t>
      </w:r>
      <w:r>
        <w:rPr>
          <w:rFonts w:ascii="Arial" w:hAnsi="Arial" w:cs="Arial"/>
        </w:rPr>
        <w:t>lcançou sensível benefício com a</w:t>
      </w:r>
      <w:r w:rsidR="00EB0088">
        <w:rPr>
          <w:rFonts w:ascii="Arial" w:hAnsi="Arial" w:cs="Arial"/>
        </w:rPr>
        <w:t xml:space="preserve"> publicação das </w:t>
      </w:r>
      <w:r w:rsidR="001004E2" w:rsidRPr="00EB05C5">
        <w:rPr>
          <w:rFonts w:ascii="Arial" w:hAnsi="Arial" w:cs="Arial"/>
        </w:rPr>
        <w:t>Lei</w:t>
      </w:r>
      <w:r w:rsidR="002E5491">
        <w:rPr>
          <w:rFonts w:ascii="Arial" w:hAnsi="Arial" w:cs="Arial"/>
        </w:rPr>
        <w:t>s</w:t>
      </w:r>
      <w:r w:rsidR="001004E2" w:rsidRPr="00EB05C5">
        <w:rPr>
          <w:rFonts w:ascii="Arial" w:hAnsi="Arial" w:cs="Arial"/>
        </w:rPr>
        <w:t xml:space="preserve"> nº 12.100/09</w:t>
      </w:r>
      <w:r w:rsidR="002E5491">
        <w:rPr>
          <w:rFonts w:ascii="Arial" w:hAnsi="Arial" w:cs="Arial"/>
        </w:rPr>
        <w:t xml:space="preserve"> e 13.484/17, </w:t>
      </w:r>
      <w:r w:rsidR="00EB0088">
        <w:rPr>
          <w:rFonts w:ascii="Arial" w:hAnsi="Arial" w:cs="Arial"/>
        </w:rPr>
        <w:t xml:space="preserve">as quais </w:t>
      </w:r>
      <w:r w:rsidR="002E5491">
        <w:rPr>
          <w:rFonts w:ascii="Arial" w:hAnsi="Arial" w:cs="Arial"/>
        </w:rPr>
        <w:t>flexibiliza</w:t>
      </w:r>
      <w:r w:rsidR="00EB0088">
        <w:rPr>
          <w:rFonts w:ascii="Arial" w:hAnsi="Arial" w:cs="Arial"/>
        </w:rPr>
        <w:t>ram</w:t>
      </w:r>
      <w:r w:rsidR="002E5491">
        <w:rPr>
          <w:rFonts w:ascii="Arial" w:hAnsi="Arial" w:cs="Arial"/>
        </w:rPr>
        <w:t xml:space="preserve"> sobremaneira as retificações </w:t>
      </w:r>
      <w:r w:rsidR="00EB0088">
        <w:rPr>
          <w:rFonts w:ascii="Arial" w:hAnsi="Arial" w:cs="Arial"/>
        </w:rPr>
        <w:t>n</w:t>
      </w:r>
      <w:r w:rsidR="002E5491">
        <w:rPr>
          <w:rFonts w:ascii="Arial" w:hAnsi="Arial" w:cs="Arial"/>
        </w:rPr>
        <w:t>o Registro Civil</w:t>
      </w:r>
      <w:r w:rsidR="003A2B45">
        <w:rPr>
          <w:rFonts w:ascii="Arial" w:hAnsi="Arial" w:cs="Arial"/>
        </w:rPr>
        <w:t>, hoje denominado Ofício da Cidadania</w:t>
      </w:r>
      <w:r w:rsidR="002E5491">
        <w:rPr>
          <w:rFonts w:ascii="Arial" w:hAnsi="Arial" w:cs="Arial"/>
        </w:rPr>
        <w:t>.</w:t>
      </w:r>
    </w:p>
    <w:p w:rsidR="001004E2" w:rsidRPr="00EB05C5" w:rsidRDefault="002E5491" w:rsidP="001004E2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a entrada em vigor do atual Código de Processo Civil (Lei nº 13.105/15), que introduziu o art. 216-A na Lei nº 6.015/73, é possível a promoção da usucapião extrajudicial, a qual culmina no reconhecimento da propriedade também sem a participação obrigatória do Estado-Juiz.</w:t>
      </w:r>
    </w:p>
    <w:p w:rsidR="00E5150F" w:rsidRDefault="003A2B45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Enfim, todas estas alterações vê</w:t>
      </w:r>
      <w:r w:rsidR="002E5491">
        <w:rPr>
          <w:rFonts w:ascii="Arial" w:hAnsi="Arial" w:cs="Arial"/>
        </w:rPr>
        <w:t>m à luz e à lembrança no momento em que se festeja</w:t>
      </w:r>
      <w:r>
        <w:rPr>
          <w:rFonts w:ascii="Arial" w:hAnsi="Arial" w:cs="Arial"/>
        </w:rPr>
        <w:t>m</w:t>
      </w:r>
      <w:r w:rsidR="002E5491">
        <w:rPr>
          <w:rFonts w:ascii="Arial" w:hAnsi="Arial" w:cs="Arial"/>
        </w:rPr>
        <w:t xml:space="preserve"> a primeira década de vigência da Lei nº 11.441/07</w:t>
      </w:r>
      <w:r>
        <w:rPr>
          <w:rFonts w:ascii="Arial" w:hAnsi="Arial" w:cs="Arial"/>
        </w:rPr>
        <w:t xml:space="preserve"> e a segunda da Lei nº 9.514/97</w:t>
      </w:r>
      <w:r w:rsidR="002E5491">
        <w:rPr>
          <w:rFonts w:ascii="Arial" w:hAnsi="Arial" w:cs="Arial"/>
        </w:rPr>
        <w:t xml:space="preserve">. </w:t>
      </w:r>
    </w:p>
    <w:p w:rsidR="006A5D8B" w:rsidRDefault="002E5491" w:rsidP="00EC45D5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Estamos evoluindo e o caminho da </w:t>
      </w:r>
      <w:proofErr w:type="spellStart"/>
      <w:r>
        <w:rPr>
          <w:rFonts w:ascii="Arial" w:hAnsi="Arial" w:cs="Arial"/>
        </w:rPr>
        <w:t>Desjudicialização</w:t>
      </w:r>
      <w:proofErr w:type="spellEnd"/>
      <w:r>
        <w:rPr>
          <w:rFonts w:ascii="Arial" w:hAnsi="Arial" w:cs="Arial"/>
        </w:rPr>
        <w:t xml:space="preserve"> mostrou-se</w:t>
      </w:r>
      <w:r w:rsidR="003A2B45">
        <w:rPr>
          <w:rFonts w:ascii="Arial" w:hAnsi="Arial" w:cs="Arial"/>
        </w:rPr>
        <w:t xml:space="preserve"> célere,</w:t>
      </w:r>
      <w:r>
        <w:rPr>
          <w:rFonts w:ascii="Arial" w:hAnsi="Arial" w:cs="Arial"/>
        </w:rPr>
        <w:t xml:space="preserve"> apto e confiável para o atendimento dos interesses da sociedade em geral.</w:t>
      </w:r>
    </w:p>
    <w:p w:rsidR="002E5491" w:rsidRDefault="002E5491" w:rsidP="00FF1DFD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Porto Alegre – RS, </w:t>
      </w:r>
      <w:r w:rsidR="003A2B4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outubro de 2017.</w:t>
      </w:r>
    </w:p>
    <w:sectPr w:rsidR="002E5491" w:rsidSect="006A5D8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92" w:rsidRDefault="00054E92" w:rsidP="001004E2">
      <w:pPr>
        <w:spacing w:after="0" w:line="240" w:lineRule="auto"/>
      </w:pPr>
      <w:r>
        <w:separator/>
      </w:r>
    </w:p>
  </w:endnote>
  <w:endnote w:type="continuationSeparator" w:id="0">
    <w:p w:rsidR="00054E92" w:rsidRDefault="00054E92" w:rsidP="0010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92" w:rsidRDefault="00054E92" w:rsidP="001004E2">
      <w:pPr>
        <w:spacing w:after="0" w:line="240" w:lineRule="auto"/>
      </w:pPr>
      <w:r>
        <w:separator/>
      </w:r>
    </w:p>
  </w:footnote>
  <w:footnote w:type="continuationSeparator" w:id="0">
    <w:p w:rsidR="00054E92" w:rsidRDefault="00054E92" w:rsidP="001004E2">
      <w:pPr>
        <w:spacing w:after="0" w:line="240" w:lineRule="auto"/>
      </w:pPr>
      <w:r>
        <w:continuationSeparator/>
      </w:r>
    </w:p>
  </w:footnote>
  <w:footnote w:id="1">
    <w:p w:rsidR="006A5D8B" w:rsidRPr="0081595F" w:rsidRDefault="006A5D8B" w:rsidP="006A5D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Oficial Titular do Registro de Imóveis da 1ª Zona de Porto Alegre, Membro Efetivo da Academia Brasileira de Direito Registral Imobiliário – ABDRI, Presidente da Fundação ENORE-RS, Vice-Presidente do Colégio Registral do RS e Ex-Presidente do Instituto de Registro Imobiliário do Brasil – IRIB.</w:t>
      </w:r>
    </w:p>
  </w:footnote>
  <w:footnote w:id="2">
    <w:p w:rsidR="00EB05C5" w:rsidRDefault="00EB05C5" w:rsidP="00EB05C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771D63">
          <w:rPr>
            <w:rStyle w:val="Hyperlink"/>
          </w:rPr>
          <w:t>https://www.anamatra.org.br/attachments/article/24400/00003439.pdf</w:t>
        </w:r>
      </w:hyperlink>
    </w:p>
    <w:p w:rsidR="00EB05C5" w:rsidRDefault="00054E92" w:rsidP="00EB05C5">
      <w:pPr>
        <w:pStyle w:val="Textodenotaderodap"/>
      </w:pPr>
      <w:hyperlink r:id="rId2" w:history="1">
        <w:r w:rsidR="00EB05C5" w:rsidRPr="00771D63">
          <w:rPr>
            <w:rStyle w:val="Hyperlink"/>
          </w:rPr>
          <w:t>http://www.publicadireito.com.br/artigos/?cod=1e00996d70a49ff8</w:t>
        </w:r>
      </w:hyperlink>
    </w:p>
    <w:p w:rsidR="00EB05C5" w:rsidRDefault="00054E92" w:rsidP="00EB05C5">
      <w:pPr>
        <w:pStyle w:val="Textodenotaderodap"/>
      </w:pPr>
      <w:hyperlink r:id="rId3" w:history="1">
        <w:r w:rsidR="00EB05C5" w:rsidRPr="00771D63">
          <w:rPr>
            <w:rStyle w:val="Hyperlink"/>
          </w:rPr>
          <w:t>http://www.ambito-juridico.com.br/site/index.php?n_link=revista_artigos_leitura&amp;artigo_id=2885%3E</w:t>
        </w:r>
      </w:hyperlink>
    </w:p>
    <w:p w:rsidR="00EB05C5" w:rsidRDefault="00054E92" w:rsidP="00EB05C5">
      <w:pPr>
        <w:pStyle w:val="Textodenotaderodap"/>
      </w:pPr>
      <w:hyperlink r:id="rId4" w:history="1">
        <w:r w:rsidR="00EB05C5" w:rsidRPr="00771D63">
          <w:rPr>
            <w:rStyle w:val="Hyperlink"/>
          </w:rPr>
          <w:t>https://espaco-vital.jusbrasil.com.br/noticias/1506515/o-perigoso-documento-319-do-banco-mundial</w:t>
        </w:r>
      </w:hyperlink>
    </w:p>
    <w:p w:rsidR="00EB05C5" w:rsidRDefault="00EB05C5" w:rsidP="00EB05C5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5"/>
    <w:rsid w:val="00054E92"/>
    <w:rsid w:val="00086100"/>
    <w:rsid w:val="000B76E4"/>
    <w:rsid w:val="001004E2"/>
    <w:rsid w:val="00176424"/>
    <w:rsid w:val="001974FC"/>
    <w:rsid w:val="001C0FF5"/>
    <w:rsid w:val="00203379"/>
    <w:rsid w:val="0028739C"/>
    <w:rsid w:val="002C3FCD"/>
    <w:rsid w:val="002C776E"/>
    <w:rsid w:val="002D115E"/>
    <w:rsid w:val="002E5491"/>
    <w:rsid w:val="002F25B7"/>
    <w:rsid w:val="00342731"/>
    <w:rsid w:val="003A2B45"/>
    <w:rsid w:val="003C2511"/>
    <w:rsid w:val="004D2B0A"/>
    <w:rsid w:val="0059398F"/>
    <w:rsid w:val="00595FC2"/>
    <w:rsid w:val="00621683"/>
    <w:rsid w:val="00680268"/>
    <w:rsid w:val="006A5D8B"/>
    <w:rsid w:val="007B1E2A"/>
    <w:rsid w:val="007D7BA1"/>
    <w:rsid w:val="007F6CF8"/>
    <w:rsid w:val="00957091"/>
    <w:rsid w:val="00A97755"/>
    <w:rsid w:val="00AC342F"/>
    <w:rsid w:val="00D16E08"/>
    <w:rsid w:val="00D8695C"/>
    <w:rsid w:val="00DF0561"/>
    <w:rsid w:val="00E27CCC"/>
    <w:rsid w:val="00E32922"/>
    <w:rsid w:val="00E5150F"/>
    <w:rsid w:val="00EB0088"/>
    <w:rsid w:val="00EB05C5"/>
    <w:rsid w:val="00EC45D5"/>
    <w:rsid w:val="00F21B24"/>
    <w:rsid w:val="00F36807"/>
    <w:rsid w:val="00F77A54"/>
    <w:rsid w:val="00F82577"/>
    <w:rsid w:val="00FB1E3B"/>
    <w:rsid w:val="00FD6F6A"/>
    <w:rsid w:val="00FF1DF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96BB8-8C20-46B4-B16F-B1FF77E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97755"/>
  </w:style>
  <w:style w:type="character" w:styleId="Hyperlink">
    <w:name w:val="Hyperlink"/>
    <w:basedOn w:val="Fontepargpadro"/>
    <w:uiPriority w:val="99"/>
    <w:unhideWhenUsed/>
    <w:rsid w:val="00A977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04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04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0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bito-juridico.com.br/site/index.php?n_link=revista_artigos_leitura&amp;artigo_id=2885%3E" TargetMode="External"/><Relationship Id="rId2" Type="http://schemas.openxmlformats.org/officeDocument/2006/relationships/hyperlink" Target="http://www.publicadireito.com.br/artigos/?cod=1e00996d70a49ff8" TargetMode="External"/><Relationship Id="rId1" Type="http://schemas.openxmlformats.org/officeDocument/2006/relationships/hyperlink" Target="https://www.anamatra.org.br/attachments/article/24400/00003439.pdf" TargetMode="External"/><Relationship Id="rId4" Type="http://schemas.openxmlformats.org/officeDocument/2006/relationships/hyperlink" Target="https://espaco-vital.jusbrasil.com.br/noticias/1506515/o-perigoso-documento-319-do-banco-mund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D045-A4BC-48B1-88E7-6F2CA53C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João Pedro Lamana Paiva</cp:lastModifiedBy>
  <cp:revision>3</cp:revision>
  <dcterms:created xsi:type="dcterms:W3CDTF">2017-10-10T20:39:00Z</dcterms:created>
  <dcterms:modified xsi:type="dcterms:W3CDTF">2017-10-10T20:41:00Z</dcterms:modified>
</cp:coreProperties>
</file>